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120" w:line="240" w:lineRule="auto"/>
        <w:ind w:right="300"/>
        <w:jc w:val="center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65ec37gvfynp" w:id="0"/>
      <w:bookmarkEnd w:id="0"/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email: </w:t>
      </w:r>
      <w:hyperlink r:id="rId7">
        <w:r w:rsidDel="00000000" w:rsidR="00000000" w:rsidRPr="00000000">
          <w:rPr>
            <w:rFonts w:ascii="Open Sans" w:cs="Open Sans" w:eastAsia="Open Sans" w:hAnsi="Open Sans"/>
            <w:sz w:val="22"/>
            <w:szCs w:val="22"/>
            <w:rtl w:val="0"/>
          </w:rPr>
          <w:t xml:space="preserve">grayson.jonathan@gmail.com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| mobile: 205-249-9832 | site: </w:t>
      </w:r>
      <w:hyperlink r:id="rId8">
        <w:r w:rsidDel="00000000" w:rsidR="00000000" w:rsidRPr="00000000">
          <w:rPr>
            <w:rFonts w:ascii="Open Sans" w:cs="Open Sans" w:eastAsia="Open Sans" w:hAnsi="Open Sans"/>
            <w:sz w:val="22"/>
            <w:szCs w:val="22"/>
            <w:u w:val="single"/>
            <w:rtl w:val="0"/>
          </w:rPr>
          <w:t xml:space="preserve">jonathangrayson.work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bookmarkStart w:colFirst="0" w:colLast="0" w:name="_heading=h.ooqk44yip7s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heading=h.1gckiokw7on2" w:id="2"/>
      <w:bookmarkEnd w:id="2"/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ABOUT 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>
          <w:rFonts w:ascii="Open Sans" w:cs="Open Sans" w:eastAsia="Open Sans" w:hAnsi="Open Sans"/>
          <w:color w:val="000000"/>
          <w:sz w:val="22"/>
          <w:szCs w:val="22"/>
        </w:rPr>
      </w:pPr>
      <w:bookmarkStart w:colFirst="0" w:colLast="0" w:name="_heading=h.ctxfpgalk07r" w:id="3"/>
      <w:bookmarkEnd w:id="3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Strategic marketing leader with 14+ years of experience driving integrated brand, demand, and partner marketing programs across global B2B and B2C organizations. Proven track record of scaling cross-functional campaigns, managing multimillion-dollar budgets, and delivering measurable business impact in complex enterprise environments. Recognized for leading high-performing teams in the tech, data center, and AI sectors. Currently seeking a senior marketing strategy role where I can continue to lead high-impact marketing programs, scale brand-to-demand efforts, and drive meaningful business outcomes for a growth-oriented organization.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/>
      </w:pPr>
      <w:bookmarkStart w:colFirst="0" w:colLast="0" w:name="_heading=h.5b96on38leem" w:id="4"/>
      <w:bookmarkEnd w:id="4"/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>
          <w:color w:val="000000"/>
        </w:rPr>
      </w:pPr>
      <w:bookmarkStart w:colFirst="0" w:colLast="0" w:name="_heading=h.pdhne1286svy" w:id="5"/>
      <w:bookmarkEnd w:id="5"/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Integrated campaign strategy, creative direction, CRM database management, market development, budgeting, stakeholder navigation, global team management, brand governance, go-to-market planning, agency management, AI marketing, demand generation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bookmarkStart w:colFirst="0" w:colLast="0" w:name="_heading=h.n1onq4d9jph5" w:id="6"/>
      <w:bookmarkEnd w:id="6"/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MARKETING EXPERIENCE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-360" w:right="-90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Intel Corporation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San Diego, CA </w:t>
      </w:r>
    </w:p>
    <w:p w:rsidR="00000000" w:rsidDel="00000000" w:rsidP="00000000" w:rsidRDefault="00000000" w:rsidRPr="00000000" w14:paraId="0000000C">
      <w:pPr>
        <w:ind w:hanging="180"/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Global Partner Campaigns Lead, Lenovo -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November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Handpicked by Intel executive leadership to drive strategic, co-marketing campaigns with Lenovo’s data center, consumer PC, and global e-comm businesses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Partnered with Intel’s brand team to streamline complex co-marketing requirements, shortening time to market by three weeks and speeding campaign delivery to geos by 40%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Restructured critical elements of Intel-Lenovo co-marketing and co-selling activities to drive volume acceleration of 1M processor units in FY26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Cultivate and grow relationships with key Lenovo stakeholders, driving YoY increase in Intel partnership initiatives and revenue opportunities</w:t>
      </w:r>
    </w:p>
    <w:p w:rsidR="00000000" w:rsidDel="00000000" w:rsidP="00000000" w:rsidRDefault="00000000" w:rsidRPr="00000000" w14:paraId="00000011">
      <w:pPr>
        <w:ind w:hanging="180"/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hanging="180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Global Campaigns Strategy Lead -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 May 2024 - November 2024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Engineered campaign strategy for revenue driving marketing efforts supporting Intel’s critical AI businesses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Quarterbacked a cross functional working team to align campaign objectives, strategies, measurement frameworks, and optimization schedules in 3-month sprint to hit critical in-market date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Transformed a brand awareness initiative into a performance-driven AI demand campaign, resulting in a 32% increase in qualified leads on Intel.com and significantly boosting pipeline velocity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90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Senior Manager, Global Brand and Creative -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April 2019 - April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Promoted to direct brand and creative for Intel’s data-centric portfolio, managing a team of 3 FTEs and 6 global agencies; delivered 12 major product launches and GTM campaigns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Developed global Xeon brand campaign guidelines used across 9 key markets, leading to a 95% consistency rate in global transcreation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Co-led procurement and agency strategy transformation, consolidating agency roster and negotiating contracts that saved $2.4M annually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90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80" w:right="-90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Account Supervisor, Agency Inside -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May 2018 - March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creative development for Intel’s Data Center and AI Group, launching multiple high-impact B2B advertising campaigns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Co-created Intel’s global B2B creative platform “This is ___ on Intel,” adopted across business units and localized in 12 markets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Partnered on strategy and messaging for Intel’s “AI for Good” thought leadership initiative, driving global media engagement and strengthening Intel’s positioning in responsible AI.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-90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widowControl w:val="0"/>
        <w:spacing w:after="0" w:before="0" w:line="360" w:lineRule="auto"/>
        <w:ind w:right="-900" w:hanging="360"/>
        <w:rPr>
          <w:sz w:val="22"/>
          <w:szCs w:val="22"/>
        </w:rPr>
      </w:pPr>
      <w:bookmarkStart w:colFirst="0" w:colLast="0" w:name="_heading=h.ylxlr8vm9jal" w:id="7"/>
      <w:bookmarkEnd w:id="7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VML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widowControl w:val="0"/>
        <w:spacing w:after="0" w:before="0" w:line="240" w:lineRule="auto"/>
        <w:ind w:left="180" w:right="-900" w:hanging="360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6h5yw8fgqpcx" w:id="8"/>
      <w:bookmarkEnd w:id="8"/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Senior Account Manager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, March 2016 - April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Strategic business lead for B2B and B2C accounts:  Chevron Lubricants, Texaco, Magento Commerce (Adobe), Campari, and Gigamon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Revived underperforming client relationships, reversing revenue decline and restoring profitability for two key accounts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Partnered with agency leadership on new business wins, securing $5M in net-new revenue in FY17 for VML West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90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widowControl w:val="0"/>
        <w:spacing w:after="0" w:before="0" w:line="360" w:lineRule="auto"/>
        <w:ind w:left="-360" w:right="-900" w:firstLine="0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jf4tfkopb16e" w:id="9"/>
      <w:bookmarkEnd w:id="9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VITRO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San Diego, CA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widowControl w:val="0"/>
        <w:spacing w:after="0" w:before="0" w:line="240" w:lineRule="auto"/>
        <w:ind w:left="-180" w:right="-900" w:firstLine="0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n0sr2e5sp9l7" w:id="10"/>
      <w:bookmarkEnd w:id="10"/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 Account Manager,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September 2013 - February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account responsibilities for multiple national QSR and casual dining brands, driving an average of 30% YoY revenue growth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agency leadership through a high-stakes pitch process that resulted in a $1.2M new business win, expanding the agency’s food and beverage vertical.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90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widowControl w:val="0"/>
        <w:spacing w:after="0" w:before="0" w:line="360" w:lineRule="auto"/>
        <w:ind w:left="-360" w:right="-900" w:firstLine="0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sekypga1ljpr" w:id="11"/>
      <w:bookmarkEnd w:id="11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Young &amp; Rubicam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New York, NY </w:t>
      </w:r>
    </w:p>
    <w:p w:rsidR="00000000" w:rsidDel="00000000" w:rsidP="00000000" w:rsidRDefault="00000000" w:rsidRPr="00000000" w14:paraId="0000002D">
      <w:pPr>
        <w:pStyle w:val="Heading2"/>
        <w:widowControl w:val="0"/>
        <w:spacing w:after="0" w:before="0" w:line="240" w:lineRule="auto"/>
        <w:ind w:left="-180" w:right="-900" w:firstLine="0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9bxxtwpzxsvu" w:id="12"/>
      <w:bookmarkEnd w:id="12"/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Account Manager,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June 2011 - September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Fast-tracked from summer intern to Account Manager, supporting high-profile clients including Keurig Green Mountain, Colgate Palmolive, Pfizer, and the United States Olympic Committee.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00" w:hanging="18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Played a key role in Keurig’s digital transformation by implementing best-in-class marketing automation, campaign optimization, and reporting practices—accelerating the shift from traditional to digital-first marketing.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20" w:line="240" w:lineRule="auto"/>
        <w:ind w:right="-900" w:hanging="36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90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University of Tennessee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Knoxville, TN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900" w:hanging="360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 of Science in Communication - Advertising/Business Administration</w:t>
      </w:r>
    </w:p>
    <w:p w:rsidR="00000000" w:rsidDel="00000000" w:rsidP="00000000" w:rsidRDefault="00000000" w:rsidRPr="00000000" w14:paraId="00000034">
      <w:pPr>
        <w:pStyle w:val="Subtitle"/>
        <w:keepNext w:val="0"/>
        <w:keepLines w:val="0"/>
        <w:widowControl w:val="0"/>
        <w:spacing w:after="0" w:line="240" w:lineRule="auto"/>
        <w:ind w:left="-360" w:right="-900" w:firstLine="0"/>
        <w:rPr>
          <w:rFonts w:ascii="Open Sans" w:cs="Open Sans" w:eastAsia="Open Sans" w:hAnsi="Open Sans"/>
          <w:sz w:val="22"/>
          <w:szCs w:val="22"/>
        </w:rPr>
      </w:pPr>
      <w:bookmarkStart w:colFirst="0" w:colLast="0" w:name="_heading=h.5zx0ndiw92f4" w:id="13"/>
      <w:bookmarkEnd w:id="13"/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080" w:top="1080" w:left="1080" w:right="1440" w:header="36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keepNext w:val="0"/>
      <w:keepLines w:val="0"/>
      <w:widowControl w:val="0"/>
      <w:spacing w:after="120" w:line="240" w:lineRule="auto"/>
      <w:ind w:right="300"/>
      <w:jc w:val="center"/>
      <w:rPr/>
    </w:pPr>
    <w:bookmarkStart w:colFirst="0" w:colLast="0" w:name="_heading=h.95bv1rru7w6p" w:id="14"/>
    <w:bookmarkEnd w:id="14"/>
    <w:r w:rsidDel="00000000" w:rsidR="00000000" w:rsidRPr="00000000">
      <w:rPr>
        <w:rFonts w:ascii="Helvetica Neue" w:cs="Helvetica Neue" w:eastAsia="Helvetica Neue" w:hAnsi="Helvetica Neue"/>
        <w:b w:val="1"/>
        <w:sz w:val="48"/>
        <w:szCs w:val="48"/>
        <w:rtl w:val="0"/>
      </w:rPr>
      <w:t xml:space="preserve">Jonathan Grayson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E5BE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5BE9"/>
  </w:style>
  <w:style w:type="paragraph" w:styleId="Footer">
    <w:name w:val="footer"/>
    <w:basedOn w:val="Normal"/>
    <w:link w:val="FooterChar"/>
    <w:uiPriority w:val="99"/>
    <w:unhideWhenUsed w:val="1"/>
    <w:rsid w:val="00AE5BE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5BE9"/>
  </w:style>
  <w:style w:type="paragraph" w:styleId="NormalWeb">
    <w:name w:val="Normal (Web)"/>
    <w:basedOn w:val="Normal"/>
    <w:uiPriority w:val="99"/>
    <w:semiHidden w:val="1"/>
    <w:unhideWhenUsed w:val="1"/>
    <w:rsid w:val="005361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ayson.jonathan@gmail.com" TargetMode="External"/><Relationship Id="rId8" Type="http://schemas.openxmlformats.org/officeDocument/2006/relationships/hyperlink" Target="https://www.jonathangrayson.wor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C7vK3NZBYDheq9TdktfbOI59A==">CgMxLjAyDmguNjVlYzM3Z3ZmeW5wMg5oLm9vcWs0NHlpcDdzZjIOaC4xZ2NraW9rdzdvbjIyDmguY3R4ZnBnYWxrMDdyMg5oLjViOTZvbjM4bGVlbTIOaC5wZGhuZTEyODZzdnkyDmgubjFvbnE0ZDlqcGg1Mg5oLnlseGxyOHZtOWphbDIOaC42aDV5dzhmZ3FwY3gyDmguamY0dGZrb3BiMTZlMg5oLm4wc3IyZTVzcDlsNzIOaC5zZWt5cGdhMWxqcHIyDmguOWJ4eHR3cHp4c3Z1Mg5oLjV6eDBuZGl3OTJmNDIOaC45NWJ2MXJydTd3NnA4AHIhMU4xcG5janBMY19tMWdwVUtOeTdIdGJCZUw3eTlCUj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2025-05-15T20:05:00Z</dcterms:created>
</cp:coreProperties>
</file>